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76B" w:rsidRDefault="00E3376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bookmarkStart w:id="0" w:name="_heading=h.30j0zll" w:colFirst="0" w:colLast="0"/>
      <w:bookmarkStart w:id="1" w:name="_GoBack"/>
      <w:bookmarkEnd w:id="0"/>
      <w:bookmarkEnd w:id="1"/>
    </w:p>
    <w:tbl>
      <w:tblPr>
        <w:tblStyle w:val="a2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3"/>
        <w:gridCol w:w="12337"/>
      </w:tblGrid>
      <w:tr w:rsidR="00E3376B">
        <w:tc>
          <w:tcPr>
            <w:tcW w:w="2223" w:type="dxa"/>
            <w:shd w:val="clear" w:color="auto" w:fill="1F497D"/>
          </w:tcPr>
          <w:p w:rsidR="00E3376B" w:rsidRDefault="009A65F1">
            <w:pPr>
              <w:rPr>
                <w:b/>
                <w:color w:val="FFFFFF"/>
                <w:sz w:val="24"/>
                <w:szCs w:val="24"/>
              </w:rPr>
            </w:pPr>
            <w:bookmarkStart w:id="2" w:name="_heading=h.gjdgxs" w:colFirst="0" w:colLast="0"/>
            <w:bookmarkEnd w:id="2"/>
            <w:r>
              <w:rPr>
                <w:b/>
                <w:color w:val="FFFFFF"/>
                <w:sz w:val="24"/>
                <w:szCs w:val="24"/>
              </w:rPr>
              <w:t>GRADO EN:</w:t>
            </w:r>
          </w:p>
        </w:tc>
        <w:tc>
          <w:tcPr>
            <w:tcW w:w="12337" w:type="dxa"/>
            <w:shd w:val="clear" w:color="auto" w:fill="FFFFFF"/>
          </w:tcPr>
          <w:p w:rsidR="00E3376B" w:rsidRDefault="009A65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MÁSTER EN FISIOTERAPIA NEUROLÓGICA</w:t>
            </w:r>
          </w:p>
        </w:tc>
      </w:tr>
      <w:tr w:rsidR="00E3376B">
        <w:tc>
          <w:tcPr>
            <w:tcW w:w="2223" w:type="dxa"/>
            <w:shd w:val="clear" w:color="auto" w:fill="1F497D"/>
          </w:tcPr>
          <w:p w:rsidR="00E3376B" w:rsidRDefault="009A65F1">
            <w:pPr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CENTRO:</w:t>
            </w:r>
          </w:p>
        </w:tc>
        <w:tc>
          <w:tcPr>
            <w:tcW w:w="12337" w:type="dxa"/>
            <w:shd w:val="clear" w:color="auto" w:fill="FFFFFF"/>
          </w:tcPr>
          <w:p w:rsidR="00E3376B" w:rsidRDefault="009A65F1">
            <w:pPr>
              <w:tabs>
                <w:tab w:val="center" w:pos="6129"/>
              </w:tabs>
              <w:rPr>
                <w:b/>
              </w:rPr>
            </w:pPr>
            <w:r>
              <w:rPr>
                <w:b/>
              </w:rPr>
              <w:t>FACULTAD DE ENFERMERÍA Y FISIOTERAPIA</w:t>
            </w:r>
          </w:p>
        </w:tc>
      </w:tr>
    </w:tbl>
    <w:p w:rsidR="00E3376B" w:rsidRDefault="00E3376B">
      <w:pPr>
        <w:spacing w:after="0"/>
      </w:pPr>
    </w:p>
    <w:tbl>
      <w:tblPr>
        <w:tblStyle w:val="a3"/>
        <w:tblW w:w="145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0"/>
        <w:gridCol w:w="10290"/>
      </w:tblGrid>
      <w:tr w:rsidR="00E3376B">
        <w:trPr>
          <w:jc w:val="center"/>
        </w:trPr>
        <w:tc>
          <w:tcPr>
            <w:tcW w:w="4260" w:type="dxa"/>
            <w:shd w:val="clear" w:color="auto" w:fill="1F497D"/>
          </w:tcPr>
          <w:p w:rsidR="00E3376B" w:rsidRDefault="009A65F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APARTADO DE LA MEMORIA</w:t>
            </w:r>
          </w:p>
        </w:tc>
        <w:tc>
          <w:tcPr>
            <w:tcW w:w="10290" w:type="dxa"/>
            <w:shd w:val="clear" w:color="auto" w:fill="1F497D"/>
            <w:vAlign w:val="center"/>
          </w:tcPr>
          <w:p w:rsidR="00E3376B" w:rsidRDefault="009A65F1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BREVE DESCRIPCIÓN DE LA MODIFICACIÓN, EN SU CASO</w:t>
            </w: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DESCRIPCIÓN DEL TÍTULO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 Datos Básicos de la descripción del Título</w:t>
            </w:r>
          </w:p>
        </w:tc>
        <w:tc>
          <w:tcPr>
            <w:tcW w:w="10290" w:type="dxa"/>
            <w:shd w:val="clear" w:color="auto" w:fill="auto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 Distribución de Créditos en el Título</w:t>
            </w:r>
          </w:p>
        </w:tc>
        <w:tc>
          <w:tcPr>
            <w:tcW w:w="10290" w:type="dxa"/>
            <w:shd w:val="clear" w:color="auto" w:fill="auto"/>
          </w:tcPr>
          <w:p w:rsidR="00E3376B" w:rsidRDefault="00E33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7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 Universidades y Centros en los que se imparte</w:t>
            </w:r>
          </w:p>
        </w:tc>
        <w:tc>
          <w:tcPr>
            <w:tcW w:w="10290" w:type="dxa"/>
            <w:shd w:val="clear" w:color="auto" w:fill="auto"/>
          </w:tcPr>
          <w:p w:rsidR="00E3376B" w:rsidRDefault="00E3376B">
            <w:pPr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JUSTIFICACIÓN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Justificación, adecuación de la propuesta y procedimientos</w:t>
            </w:r>
          </w:p>
        </w:tc>
        <w:tc>
          <w:tcPr>
            <w:tcW w:w="10290" w:type="dxa"/>
            <w:shd w:val="clear" w:color="auto" w:fill="auto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Apartado 2. Anexo 1. Se han corregido errores ortográficos señalados en rojo en los apartados 2.1.1, 2.2, 2.3, 2.4</w:t>
            </w: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COMPETENCIAS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Competencias Generales y Básicas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 Competencias Transversales </w:t>
            </w:r>
          </w:p>
        </w:tc>
        <w:tc>
          <w:tcPr>
            <w:tcW w:w="10290" w:type="dxa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Competencias Específicas</w:t>
            </w:r>
          </w:p>
        </w:tc>
        <w:tc>
          <w:tcPr>
            <w:tcW w:w="10290" w:type="dxa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 ACCESO Y ADMISIÓN DE ESTUDIANTES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Sistema de Información previo</w:t>
            </w:r>
          </w:p>
        </w:tc>
        <w:tc>
          <w:tcPr>
            <w:tcW w:w="10290" w:type="dxa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 Requisitos de Acceso y Criterios de Admisión</w:t>
            </w:r>
          </w:p>
        </w:tc>
        <w:tc>
          <w:tcPr>
            <w:tcW w:w="1029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han corregido errores ortográficos señalados en rojo. (Pág. 6,7 y 8)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 Apoyo a estudiantes</w:t>
            </w: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han corregido errores ortográficos señalados en rojo.</w:t>
            </w:r>
          </w:p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el 4.3.4, se ha mejorado y actualizado la información, tachándose un párrafo y añadiendo otro. (pág. 9)</w:t>
            </w: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 Sistema de transferencia y reconocimiento de créditos</w:t>
            </w:r>
          </w:p>
        </w:tc>
        <w:tc>
          <w:tcPr>
            <w:tcW w:w="1029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han corregido errores ortográficos señalados en rojo.</w:t>
            </w:r>
          </w:p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el 4.4 se ha añadido una aclaración respecto al reconocimiento de créditos. (Pág. 10 y 11)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 Curso de Adaptación para titulados</w:t>
            </w:r>
          </w:p>
        </w:tc>
        <w:tc>
          <w:tcPr>
            <w:tcW w:w="10290" w:type="dxa"/>
          </w:tcPr>
          <w:p w:rsidR="00E3376B" w:rsidRDefault="00E33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70"/>
              <w:rPr>
                <w:color w:val="000000"/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PLANIFICACIÓN DE LAS ENSEÑANZAS </w:t>
            </w:r>
          </w:p>
        </w:tc>
      </w:tr>
      <w:tr w:rsidR="00E3376B">
        <w:trPr>
          <w:jc w:val="center"/>
        </w:trPr>
        <w:tc>
          <w:tcPr>
            <w:tcW w:w="4260" w:type="dxa"/>
            <w:vMerge w:val="restart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 Descripción del Plan de Estudios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1: En el apartado 5 Anexo I, En la primera tabla se han cambiado los créditos de las prácticas externas y el TFM (Apartado 5, Anexo I, pag. 1)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2: En el apartado 5 Anexo I pág. 1 y 2, En la segunda tabla, se ha cambiado el nombre de la asignatura de Metodología de la Investigación en Fisioterapia de 3 créditos por  investigación Clínica en Fisioterapia de 5 créditos y Aplicaciones TICs en la atención sanitaria, pasa a tener 3 créditos a 5 créditos; se cambian las prácticas y el TFM.</w:t>
            </w:r>
          </w:p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Además todas las asignaturas aparecen que se van a impartir en el 1º y 2º semestre.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3: En el apartado 5 Anexo I pág. 2 y 3, se ha cambiado el nombre de la asignatura de Metodología de la Investigación en Fisioterapia de 3 créditos por  Investigación Clínica en Fisioterapia de 5 créditos. La descripción se adapta a la nueva propuesta.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4: En el apartado 5 Anexo I pág. 3, Aplicaciones TICs en la atención sanitaria, pasa a tener 3 créditos.  La descripción se adapta a la nueva propuesta.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5: En el apartado 5 Anexo I Pág. 4, La materia de Prácticas Externas, pasa de 12 créditos a 9 créditos, y se divide en tres asignaturas, de tres créditos cada una (Prácticas clínicas I, II y III).  La descripción se adapta a la nueva propuesta.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6: En el apartado 5 Anexo I pág. 5, El Trabajo Fin de Máster, pasa de tener 6 créditos a 9 Créditos.  La descripción se adapta a la nueva propuesta.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7: En el apartado 5 Anexo I, en todos los apartados, se han corregido errores ortográficos señalados en rojo.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8: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9: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10: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5.2 Actividades Formativas </w:t>
            </w:r>
          </w:p>
        </w:tc>
        <w:tc>
          <w:tcPr>
            <w:tcW w:w="10290" w:type="dxa"/>
          </w:tcPr>
          <w:p w:rsidR="00E3376B" w:rsidRDefault="00E337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70"/>
              <w:jc w:val="both"/>
              <w:rPr>
                <w:color w:val="C00000"/>
                <w:sz w:val="20"/>
                <w:szCs w:val="20"/>
              </w:rPr>
            </w:pPr>
          </w:p>
        </w:tc>
      </w:tr>
      <w:tr w:rsidR="00E3376B">
        <w:trPr>
          <w:trHeight w:val="465"/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Metodologías Docentes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 la Memoria y en el apartado 5 Anexo I, en las Metodologías Docentes se ha añadido en la 7 </w:t>
            </w:r>
            <w:r>
              <w:rPr>
                <w:i/>
                <w:sz w:val="20"/>
                <w:szCs w:val="20"/>
              </w:rPr>
              <w:t xml:space="preserve">Asimismo, se podrán realizar sesiones clínicas y prácticas simuladas. </w:t>
            </w:r>
            <w:r>
              <w:rPr>
                <w:sz w:val="20"/>
                <w:szCs w:val="20"/>
              </w:rPr>
              <w:t>(Apartado 5 Anexo I, pág. 9; Memoria Pág. 12)</w:t>
            </w: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 Sistemas de Evaluación</w:t>
            </w:r>
          </w:p>
        </w:tc>
        <w:tc>
          <w:tcPr>
            <w:tcW w:w="10290" w:type="dxa"/>
          </w:tcPr>
          <w:p w:rsidR="00E3376B" w:rsidRDefault="009A65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la Memoria y en el apartado 5 Anexo I, en Sistemas de Evaluación, se ha cambiado el Examen Escrito por Examen Final. Además se ha eliminado el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9, 10, 11, y 12. Así mismo, al sistema de evaluación  E</w:t>
            </w:r>
            <w:r>
              <w:rPr>
                <w:i/>
                <w:sz w:val="20"/>
                <w:szCs w:val="20"/>
              </w:rPr>
              <w:t>valuación continua: trabajo individual y de grupo</w:t>
            </w:r>
            <w:r>
              <w:rPr>
                <w:sz w:val="20"/>
                <w:szCs w:val="20"/>
              </w:rPr>
              <w:t xml:space="preserve">, se le ha cambiado la </w:t>
            </w:r>
            <w:r>
              <w:rPr>
                <w:i/>
                <w:sz w:val="20"/>
                <w:szCs w:val="20"/>
              </w:rPr>
              <w:t xml:space="preserve"> y</w:t>
            </w:r>
            <w:r>
              <w:rPr>
                <w:sz w:val="20"/>
                <w:szCs w:val="20"/>
              </w:rPr>
              <w:t xml:space="preserve"> por</w:t>
            </w:r>
            <w:r>
              <w:rPr>
                <w:i/>
                <w:sz w:val="20"/>
                <w:szCs w:val="20"/>
              </w:rPr>
              <w:t xml:space="preserve"> y/o .</w:t>
            </w:r>
            <w:r>
              <w:rPr>
                <w:sz w:val="20"/>
                <w:szCs w:val="20"/>
              </w:rPr>
              <w:t xml:space="preserve"> (Apartado 5 Anexo I, pág. 10; Memoria Pág. 12)</w:t>
            </w:r>
          </w:p>
        </w:tc>
      </w:tr>
      <w:tr w:rsidR="00E3376B">
        <w:trPr>
          <w:jc w:val="center"/>
        </w:trPr>
        <w:tc>
          <w:tcPr>
            <w:tcW w:w="4260" w:type="dxa"/>
            <w:vMerge w:val="restart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 Módulos, materias y/o asignaturas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1: En todas las asignaturas se ha cambiado el despliegue temporal pasando de un semestre a dos semestres.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2: Se han trasladado los cambios realizados en las Metodologías Docentes y sistemas de evaluación que se habían realizado en la Memoria, en el punto 5.1 y en el Apartado 5 Anexo I.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Modificación 3: En la asignatura Métodos estadísticos aplicados a la investigación sanitaria, se ha cambiado el despliegue temporal pasando de un semestre a dos semestres y la presencialidad pasa del 100 al 40%. Se ha añadido al apartado de observaciones notas aclaratorias sobre ello. (Memoria pág. 13, 14 y 15)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r>
              <w:rPr>
                <w:sz w:val="20"/>
                <w:szCs w:val="20"/>
              </w:rPr>
              <w:t xml:space="preserve">Modificación 4: (Pág. 15, 16 y 17) En la asignatura </w:t>
            </w:r>
            <w:r>
              <w:rPr>
                <w:i/>
                <w:sz w:val="20"/>
                <w:szCs w:val="20"/>
              </w:rPr>
              <w:t>Metodología de la investigación en Fisioterapia</w:t>
            </w:r>
            <w:r>
              <w:rPr>
                <w:sz w:val="20"/>
                <w:szCs w:val="20"/>
              </w:rPr>
              <w:t xml:space="preserve">, se ha cambiado: el nombre por </w:t>
            </w:r>
            <w:r>
              <w:rPr>
                <w:i/>
                <w:sz w:val="20"/>
                <w:szCs w:val="20"/>
              </w:rPr>
              <w:t>Investigación Clínica en Fisioterapia</w:t>
            </w:r>
            <w:r>
              <w:rPr>
                <w:sz w:val="20"/>
                <w:szCs w:val="20"/>
              </w:rPr>
              <w:t>, el despliegue temporal pasando de un semestre a dos semestres. Su carga docente ha pasado de 3 créditos a 5 créditos. Se adaptan los Contenidos, Resultados de aprendizaje, Actividades formativas, Metodologías docentes y Sistemas de Evaluación a la nueva propuesta. Se elimina la competencia CG6. Se añaden observaciones en el apartado correspondiente.</w:t>
            </w:r>
          </w:p>
        </w:tc>
      </w:tr>
      <w:tr w:rsidR="00E3376B">
        <w:trPr>
          <w:trHeight w:val="229"/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5: (Pág. 17, 18 y 19)La asignatura Aplicaciones TICs en la atención sanitaria, ha pasado de  5 créditos a 3 créditos. El despliegue temporal pasa de un semestre a dos semestres. Se adaptan los Contenidos, Resultados de aprendizaje, Actividades formativas, Metodologías docentes y Sistemas de Evaluación a la nueva propuesta. Se elimina la competencia CG6. Se añaden observaciones en el apartado correspondiente.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6: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sz w:val="20"/>
                <w:szCs w:val="20"/>
              </w:rPr>
              <w:t xml:space="preserve">(Pág. 20, 21 y 22) En Reeducación cognitiva y neurolingüística para fisioterapeutas, el despliegue temporal pasa de un semestre a dos semestres. Se corrigen los resultados de aprendizaje y las actividades formativas. En el Sistema de Evaluación, se elimina el examen escrito y se añade la </w:t>
            </w:r>
            <w:r>
              <w:rPr>
                <w:i/>
                <w:sz w:val="20"/>
                <w:szCs w:val="20"/>
              </w:rPr>
              <w:t>evaluación continua.</w:t>
            </w:r>
            <w:r>
              <w:rPr>
                <w:sz w:val="20"/>
                <w:szCs w:val="20"/>
              </w:rPr>
              <w:t xml:space="preserve"> Se añaden observaciones en el apartado correspondiente.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r>
              <w:rPr>
                <w:sz w:val="20"/>
                <w:szCs w:val="20"/>
              </w:rPr>
              <w:t>Modificación 7:  (Pág. 22, 23, 24 y 25) En Fisioterapia Neurológica en Pediatría, el despliegue temporal pasa de un semestre a dos semestres. En las dos asignaturas que tiene esta materia, cambia igualmente el despliegue temporal. Se actualizan el resultado de aprendizaje, los contenidos, observaciones, metodologías docentes y sistemas de evaluación.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290" w:type="dxa"/>
          </w:tcPr>
          <w:p w:rsidR="00E3376B" w:rsidRDefault="009A65F1">
            <w:r>
              <w:rPr>
                <w:sz w:val="20"/>
                <w:szCs w:val="20"/>
              </w:rPr>
              <w:t xml:space="preserve">Modificación 8: (Pág. 25, 26, 27, 28, 29, 30 y 31)En la materia de  Fisioterapia Neurológica en el Adulto, el despliegue temporal pasa de un semestre a dos semestres. Se actualizan los resultados de aprendizaje de la asignatura 2, los contenidos, observaciones, metodologías docentes y sistemas de evaluación. 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9: (Pág. 31, 32, 33, 34, 35 y 36) La asignatura de </w:t>
            </w:r>
            <w:r>
              <w:rPr>
                <w:i/>
                <w:sz w:val="20"/>
                <w:szCs w:val="20"/>
              </w:rPr>
              <w:t xml:space="preserve">Prácticas externas, </w:t>
            </w:r>
            <w:r>
              <w:rPr>
                <w:sz w:val="20"/>
                <w:szCs w:val="20"/>
              </w:rPr>
              <w:t xml:space="preserve">pasa de 12 créditos a 9 créditos. Esta materia que antes tenía una sóla asignatura, está ahora dividida en tres asignaturas llamadas </w:t>
            </w:r>
            <w:r>
              <w:rPr>
                <w:i/>
                <w:sz w:val="20"/>
                <w:szCs w:val="20"/>
              </w:rPr>
              <w:t xml:space="preserve">Prácticas Clínicas I, Prácticas Clínicas II y Prácticas Clínicas III, </w:t>
            </w:r>
            <w:r>
              <w:rPr>
                <w:sz w:val="20"/>
                <w:szCs w:val="20"/>
              </w:rPr>
              <w:t xml:space="preserve">cada una de ellas con 3 créditos. Se han modificado y añadido Resultados de aprendizajes y observaciones. En sistemas de evaluación, se ha añadido Evaluación continua: trabajo individual y/o de grupo, y se han modificado las ponderaciones.  </w:t>
            </w:r>
          </w:p>
        </w:tc>
      </w:tr>
      <w:tr w:rsidR="00E3376B">
        <w:trPr>
          <w:jc w:val="center"/>
        </w:trPr>
        <w:tc>
          <w:tcPr>
            <w:tcW w:w="4260" w:type="dxa"/>
            <w:vMerge/>
            <w:vAlign w:val="center"/>
          </w:tcPr>
          <w:p w:rsidR="00E3376B" w:rsidRDefault="00E337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9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Modificación 10: (Pág. 36, 37 y 38) En la asignatura </w:t>
            </w:r>
            <w:r>
              <w:rPr>
                <w:i/>
                <w:sz w:val="20"/>
                <w:szCs w:val="20"/>
              </w:rPr>
              <w:t>Trabajo Fin de Máster,</w:t>
            </w:r>
            <w:r>
              <w:rPr>
                <w:sz w:val="20"/>
                <w:szCs w:val="20"/>
              </w:rPr>
              <w:t xml:space="preserve"> se ha cambiado el creditaje pasando de 6 a 9 créditos. Se ha modificado por tanto el despliegue temporal adaptándolo a la nueva situación. Se han corregido errores ortográficos señalados en rojo.</w:t>
            </w: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PERSONAL ACADÉMICO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 Profesorado</w:t>
            </w:r>
          </w:p>
        </w:tc>
        <w:tc>
          <w:tcPr>
            <w:tcW w:w="10290" w:type="dxa"/>
          </w:tcPr>
          <w:p w:rsidR="00E3376B" w:rsidRDefault="00E3376B">
            <w:pPr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 Otros recursos humanos </w:t>
            </w:r>
          </w:p>
        </w:tc>
        <w:tc>
          <w:tcPr>
            <w:tcW w:w="10290" w:type="dxa"/>
            <w:shd w:val="clear" w:color="auto" w:fill="auto"/>
          </w:tcPr>
          <w:p w:rsidR="00E3376B" w:rsidRDefault="00E3376B">
            <w:pPr>
              <w:rPr>
                <w:color w:val="FF0000"/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RECURSOS MATERIALES Y SERVICIOS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Justificación de los recursos materiales y servicios disponibles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el apartado 7 Anexo I, se han corregido errores ortográficos y cambiado y mejorado la redacción, señalados en rojo</w:t>
            </w: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 RESULTADOS PREVISTOS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 Estimación de resultados con valores cuantitativos</w:t>
            </w:r>
          </w:p>
        </w:tc>
        <w:tc>
          <w:tcPr>
            <w:tcW w:w="10290" w:type="dxa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 Procedimiento general para valorar el progreso y los resultados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han corregido errores ortográficos y cambiado y mejorado la redacción, señalados en rojo</w:t>
            </w: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SISTEMA DE GARANTÍA DE CALIDAD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 Sistema de Garantía de Calidad</w:t>
            </w:r>
          </w:p>
        </w:tc>
        <w:tc>
          <w:tcPr>
            <w:tcW w:w="10290" w:type="dxa"/>
            <w:shd w:val="clear" w:color="auto" w:fill="auto"/>
          </w:tcPr>
          <w:p w:rsidR="00E3376B" w:rsidRDefault="00E3376B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CALENDARIO DE IMPLANTACIÓN</w:t>
            </w: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 Cronograma de Implantación</w:t>
            </w:r>
          </w:p>
        </w:tc>
        <w:tc>
          <w:tcPr>
            <w:tcW w:w="10290" w:type="dxa"/>
          </w:tcPr>
          <w:p w:rsidR="00E3376B" w:rsidRDefault="009A65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el apartado 10 Anexo I, Se ha añadido un párrafo del</w:t>
            </w:r>
            <w:r>
              <w:rPr>
                <w:i/>
                <w:sz w:val="20"/>
                <w:szCs w:val="20"/>
              </w:rPr>
              <w:t xml:space="preserve"> Cronograma de implantación de las modificaciones al Título</w:t>
            </w:r>
            <w:r>
              <w:rPr>
                <w:sz w:val="20"/>
                <w:szCs w:val="20"/>
              </w:rPr>
              <w:t>, con la fecha de implantación y la justificación.</w:t>
            </w:r>
          </w:p>
        </w:tc>
      </w:tr>
      <w:tr w:rsidR="00E3376B">
        <w:trPr>
          <w:jc w:val="center"/>
        </w:trPr>
        <w:tc>
          <w:tcPr>
            <w:tcW w:w="4260" w:type="dxa"/>
            <w:vAlign w:val="center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 Procedimiento de adaptación </w:t>
            </w:r>
          </w:p>
        </w:tc>
        <w:tc>
          <w:tcPr>
            <w:tcW w:w="10290" w:type="dxa"/>
          </w:tcPr>
          <w:p w:rsidR="00E3376B" w:rsidRDefault="00E3376B">
            <w:pPr>
              <w:jc w:val="both"/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 Enseñanzas que se extinguen</w:t>
            </w:r>
          </w:p>
        </w:tc>
        <w:tc>
          <w:tcPr>
            <w:tcW w:w="10290" w:type="dxa"/>
          </w:tcPr>
          <w:p w:rsidR="00E3376B" w:rsidRDefault="00E3376B">
            <w:pPr>
              <w:rPr>
                <w:sz w:val="20"/>
                <w:szCs w:val="20"/>
              </w:rPr>
            </w:pPr>
          </w:p>
        </w:tc>
      </w:tr>
      <w:tr w:rsidR="00E3376B">
        <w:trPr>
          <w:jc w:val="center"/>
        </w:trPr>
        <w:tc>
          <w:tcPr>
            <w:tcW w:w="14550" w:type="dxa"/>
            <w:gridSpan w:val="2"/>
            <w:shd w:val="clear" w:color="auto" w:fill="F2F2F2"/>
          </w:tcPr>
          <w:p w:rsidR="00E3376B" w:rsidRDefault="009A65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PERSONAS ASOCIADAS A LA SOLICTUD</w:t>
            </w:r>
          </w:p>
        </w:tc>
      </w:tr>
      <w:tr w:rsidR="00E3376B">
        <w:trPr>
          <w:jc w:val="center"/>
        </w:trPr>
        <w:tc>
          <w:tcPr>
            <w:tcW w:w="4260" w:type="dxa"/>
          </w:tcPr>
          <w:p w:rsidR="00E3376B" w:rsidRDefault="009A65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  Responsable del Título</w:t>
            </w:r>
          </w:p>
        </w:tc>
        <w:tc>
          <w:tcPr>
            <w:tcW w:w="10290" w:type="dxa"/>
          </w:tcPr>
          <w:p w:rsidR="00E3376B" w:rsidRDefault="00E3376B">
            <w:pPr>
              <w:rPr>
                <w:sz w:val="20"/>
                <w:szCs w:val="20"/>
              </w:rPr>
            </w:pPr>
          </w:p>
        </w:tc>
      </w:tr>
    </w:tbl>
    <w:p w:rsidR="00E3376B" w:rsidRDefault="00E337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color w:val="FF0000"/>
        </w:rPr>
      </w:pPr>
    </w:p>
    <w:p w:rsidR="00E3376B" w:rsidRDefault="00E3376B"/>
    <w:sectPr w:rsidR="00E3376B">
      <w:headerReference w:type="default" r:id="rId7"/>
      <w:footerReference w:type="default" r:id="rId8"/>
      <w:pgSz w:w="16838" w:h="11906" w:orient="landscape"/>
      <w:pgMar w:top="1304" w:right="1134" w:bottom="1304" w:left="1134" w:header="567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BE1" w:rsidRDefault="00DA3BE1">
      <w:pPr>
        <w:spacing w:after="0" w:line="240" w:lineRule="auto"/>
      </w:pPr>
      <w:r>
        <w:separator/>
      </w:r>
    </w:p>
  </w:endnote>
  <w:endnote w:type="continuationSeparator" w:id="0">
    <w:p w:rsidR="00DA3BE1" w:rsidRDefault="00DA3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76B" w:rsidRDefault="00E33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  <w:p w:rsidR="00E3376B" w:rsidRDefault="00E33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BE1" w:rsidRDefault="00DA3BE1">
      <w:pPr>
        <w:spacing w:after="0" w:line="240" w:lineRule="auto"/>
      </w:pPr>
      <w:r>
        <w:separator/>
      </w:r>
    </w:p>
  </w:footnote>
  <w:footnote w:type="continuationSeparator" w:id="0">
    <w:p w:rsidR="00DA3BE1" w:rsidRDefault="00DA3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76B" w:rsidRDefault="00E3376B">
    <w:pPr>
      <w:widowControl w:val="0"/>
      <w:pBdr>
        <w:top w:val="nil"/>
        <w:left w:val="nil"/>
        <w:bottom w:val="nil"/>
        <w:right w:val="nil"/>
        <w:between w:val="nil"/>
      </w:pBdr>
      <w:spacing w:after="0"/>
    </w:pPr>
  </w:p>
  <w:tbl>
    <w:tblPr>
      <w:tblStyle w:val="a4"/>
      <w:tblW w:w="13099" w:type="dxa"/>
      <w:jc w:val="center"/>
      <w:tblInd w:w="0" w:type="dxa"/>
      <w:tblBorders>
        <w:insideH w:val="single" w:sz="4" w:space="0" w:color="F38F1D"/>
        <w:insideV w:val="single" w:sz="4" w:space="0" w:color="F38F1D"/>
      </w:tblBorders>
      <w:tblLayout w:type="fixed"/>
      <w:tblLook w:val="0400" w:firstRow="0" w:lastRow="0" w:firstColumn="0" w:lastColumn="0" w:noHBand="0" w:noVBand="1"/>
    </w:tblPr>
    <w:tblGrid>
      <w:gridCol w:w="4085"/>
      <w:gridCol w:w="5428"/>
      <w:gridCol w:w="3586"/>
    </w:tblGrid>
    <w:tr w:rsidR="00E3376B">
      <w:trPr>
        <w:trHeight w:val="1702"/>
        <w:jc w:val="center"/>
      </w:trPr>
      <w:tc>
        <w:tcPr>
          <w:tcW w:w="4085" w:type="dxa"/>
          <w:shd w:val="clear" w:color="auto" w:fill="auto"/>
          <w:vAlign w:val="center"/>
        </w:tcPr>
        <w:p w:rsidR="00E3376B" w:rsidRDefault="009A65F1">
          <w:pPr>
            <w:ind w:firstLine="708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91440</wp:posOffset>
                </wp:positionV>
                <wp:extent cx="1673860" cy="702310"/>
                <wp:effectExtent l="0" t="0" r="0" b="0"/>
                <wp:wrapNone/>
                <wp:docPr id="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3860" cy="7023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428" w:type="dxa"/>
          <w:shd w:val="clear" w:color="auto" w:fill="auto"/>
          <w:vAlign w:val="center"/>
        </w:tcPr>
        <w:p w:rsidR="00E3376B" w:rsidRDefault="009A65F1">
          <w:pPr>
            <w:ind w:left="-88" w:right="-93"/>
            <w:jc w:val="center"/>
            <w:rPr>
              <w:rFonts w:ascii="Garamond" w:eastAsia="Garamond" w:hAnsi="Garamond" w:cs="Garamond"/>
              <w:color w:val="005B82"/>
              <w:sz w:val="24"/>
              <w:szCs w:val="24"/>
            </w:rPr>
          </w:pPr>
          <w:r>
            <w:rPr>
              <w:rFonts w:ascii="Garamond" w:eastAsia="Garamond" w:hAnsi="Garamond" w:cs="Garamond"/>
              <w:color w:val="005B82"/>
              <w:sz w:val="24"/>
              <w:szCs w:val="24"/>
            </w:rPr>
            <w:t>Vicerrectorado de Planificación, Calidad y Evaluación</w:t>
          </w:r>
        </w:p>
        <w:p w:rsidR="00E3376B" w:rsidRDefault="00E3376B">
          <w:pPr>
            <w:ind w:left="-88" w:right="-93"/>
            <w:jc w:val="center"/>
            <w:rPr>
              <w:rFonts w:ascii="Garamond" w:eastAsia="Garamond" w:hAnsi="Garamond" w:cs="Garamond"/>
              <w:color w:val="005B82"/>
              <w:sz w:val="26"/>
              <w:szCs w:val="26"/>
            </w:rPr>
          </w:pPr>
        </w:p>
        <w:p w:rsidR="00E3376B" w:rsidRDefault="009A65F1">
          <w:pPr>
            <w:ind w:left="-88" w:right="-93"/>
            <w:jc w:val="center"/>
            <w:rPr>
              <w:rFonts w:ascii="Garamond" w:eastAsia="Garamond" w:hAnsi="Garamond" w:cs="Garamond"/>
              <w:color w:val="005B82"/>
              <w:sz w:val="30"/>
              <w:szCs w:val="30"/>
            </w:rPr>
          </w:pPr>
          <w:r>
            <w:rPr>
              <w:rFonts w:ascii="Garamond" w:eastAsia="Garamond" w:hAnsi="Garamond" w:cs="Garamond"/>
              <w:color w:val="005B82"/>
              <w:sz w:val="30"/>
              <w:szCs w:val="30"/>
            </w:rPr>
            <w:t>Servicio de Gestión de la Calidad y Títulos</w:t>
          </w:r>
        </w:p>
        <w:p w:rsidR="00E3376B" w:rsidRDefault="00E3376B">
          <w:pPr>
            <w:jc w:val="both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</w:p>
      </w:tc>
      <w:tc>
        <w:tcPr>
          <w:tcW w:w="3586" w:type="dxa"/>
          <w:shd w:val="clear" w:color="auto" w:fill="auto"/>
          <w:vAlign w:val="center"/>
        </w:tcPr>
        <w:p w:rsidR="00E3376B" w:rsidRDefault="009A65F1">
          <w:pPr>
            <w:ind w:right="-227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  <w:r>
            <w:rPr>
              <w:rFonts w:ascii="Garamond" w:eastAsia="Garamond" w:hAnsi="Garamond" w:cs="Garamond"/>
              <w:color w:val="747678"/>
              <w:sz w:val="18"/>
              <w:szCs w:val="18"/>
            </w:rPr>
            <w:t>Hospital Real</w:t>
          </w:r>
        </w:p>
        <w:p w:rsidR="00E3376B" w:rsidRDefault="009A65F1">
          <w:pPr>
            <w:ind w:right="-227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  <w:r>
            <w:rPr>
              <w:rFonts w:ascii="Garamond" w:eastAsia="Garamond" w:hAnsi="Garamond" w:cs="Garamond"/>
              <w:color w:val="747678"/>
              <w:sz w:val="18"/>
              <w:szCs w:val="18"/>
            </w:rPr>
            <w:t>Plaza Falla, nº 8, 11002 Cádiz</w:t>
          </w:r>
        </w:p>
        <w:p w:rsidR="00E3376B" w:rsidRDefault="00E3376B">
          <w:pPr>
            <w:ind w:right="-227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</w:p>
        <w:p w:rsidR="00E3376B" w:rsidRDefault="009A65F1">
          <w:pPr>
            <w:ind w:right="-227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  <w:r>
            <w:rPr>
              <w:rFonts w:ascii="Garamond" w:eastAsia="Garamond" w:hAnsi="Garamond" w:cs="Garamond"/>
              <w:color w:val="747678"/>
              <w:sz w:val="18"/>
              <w:szCs w:val="18"/>
            </w:rPr>
            <w:t>Tlf:956015093</w:t>
          </w:r>
        </w:p>
        <w:p w:rsidR="00E3376B" w:rsidRDefault="009A65F1">
          <w:pPr>
            <w:ind w:right="-227"/>
            <w:rPr>
              <w:rFonts w:ascii="Garamond" w:eastAsia="Garamond" w:hAnsi="Garamond" w:cs="Garamond"/>
              <w:color w:val="747678"/>
              <w:sz w:val="18"/>
              <w:szCs w:val="18"/>
            </w:rPr>
          </w:pPr>
          <w:r>
            <w:rPr>
              <w:rFonts w:ascii="Garamond" w:eastAsia="Garamond" w:hAnsi="Garamond" w:cs="Garamond"/>
              <w:color w:val="747678"/>
              <w:sz w:val="18"/>
              <w:szCs w:val="18"/>
            </w:rPr>
            <w:t>E-mail: evaluacion@uca.es</w:t>
          </w:r>
        </w:p>
      </w:tc>
    </w:tr>
  </w:tbl>
  <w:p w:rsidR="00E3376B" w:rsidRDefault="00E33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76B"/>
    <w:rsid w:val="006C63B0"/>
    <w:rsid w:val="009A65F1"/>
    <w:rsid w:val="00D63206"/>
    <w:rsid w:val="00DA3BE1"/>
    <w:rsid w:val="00E3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85650-19B7-434A-B17A-8835A09C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69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2D2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D269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26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269A"/>
  </w:style>
  <w:style w:type="paragraph" w:customStyle="1" w:styleId="ColorfulList-Accent11">
    <w:name w:val="Colorful List - Accent 11"/>
    <w:basedOn w:val="Normal"/>
    <w:rsid w:val="002D269A"/>
    <w:pPr>
      <w:ind w:left="720"/>
      <w:contextualSpacing/>
    </w:pPr>
    <w:rPr>
      <w:rFonts w:eastAsia="Times New Roman" w:cs="Times New Roman"/>
    </w:rPr>
  </w:style>
  <w:style w:type="paragraph" w:customStyle="1" w:styleId="Prrafodelista2">
    <w:name w:val="Párrafo de lista2"/>
    <w:basedOn w:val="Normal"/>
    <w:uiPriority w:val="99"/>
    <w:rsid w:val="00D74307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46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6EC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6F5B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5BE5"/>
  </w:style>
  <w:style w:type="character" w:styleId="Hipervnculo">
    <w:name w:val="Hyperlink"/>
    <w:basedOn w:val="Fuentedeprrafopredeter"/>
    <w:uiPriority w:val="99"/>
    <w:unhideWhenUsed/>
    <w:rsid w:val="00746505"/>
    <w:rPr>
      <w:color w:val="0000FF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io1/yAAy7UayIKpiSuTXuEbKFg==">AMUW2mUFz60DpPuPv0iuUS+1/YClSJPlITIXO3TJySblI+yMHewT1w292GSXc90ZVWd8dgYOlQMO7mMOSBIs7Uu3i/6BvBYEXNDYvyoufx1rRk6sLohY2nGrkMazi4CgUWf12huFC0eU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1246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</dc:creator>
  <cp:lastModifiedBy>Tester</cp:lastModifiedBy>
  <cp:revision>2</cp:revision>
  <dcterms:created xsi:type="dcterms:W3CDTF">2021-04-20T08:35:00Z</dcterms:created>
  <dcterms:modified xsi:type="dcterms:W3CDTF">2021-04-20T08:35:00Z</dcterms:modified>
</cp:coreProperties>
</file>